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A263" w14:textId="67C01DEA" w:rsidR="0018661D" w:rsidRPr="0018661D" w:rsidRDefault="00BC7261" w:rsidP="0018661D">
      <w:r w:rsidRPr="0018661D">
        <w:rPr>
          <w:rFonts w:asciiTheme="majorHAnsi" w:eastAsiaTheme="majorEastAsia" w:hAnsiTheme="majorHAnsi" w:cstheme="majorBidi"/>
          <w:color w:val="5B9BD5" w:themeColor="accent1"/>
          <w:sz w:val="32"/>
          <w:szCs w:val="32"/>
        </w:rPr>
        <w:t>Worked example of the calculation of the price of purchasing medication</w:t>
      </w:r>
      <w:r w:rsidR="003A3048">
        <w:rPr>
          <w:rFonts w:asciiTheme="majorHAnsi" w:eastAsiaTheme="majorEastAsia" w:hAnsiTheme="majorHAnsi" w:cstheme="majorBidi"/>
          <w:color w:val="5B9BD5" w:themeColor="accent1"/>
          <w:sz w:val="32"/>
          <w:szCs w:val="32"/>
        </w:rPr>
        <w:t>: Fluoxetine</w:t>
      </w:r>
    </w:p>
    <w:p w14:paraId="1FA07F17" w14:textId="77777777" w:rsidR="0018661D" w:rsidRPr="0018661D" w:rsidRDefault="0018661D" w:rsidP="0018661D">
      <w:r w:rsidRPr="0018661D">
        <w:t>The annual price of medication to treat a population can be estimated using the formula:</w:t>
      </w:r>
    </w:p>
    <w:p w14:paraId="6B386800" w14:textId="77777777" w:rsidR="0018661D" w:rsidRPr="0018661D" w:rsidRDefault="0018661D" w:rsidP="00465678">
      <w:pPr>
        <w:numPr>
          <w:ilvl w:val="0"/>
          <w:numId w:val="4"/>
        </w:numPr>
        <w:spacing w:after="120"/>
      </w:pPr>
      <w:r w:rsidRPr="0018661D">
        <w:t>Number of cases to be treated x Price per unit of medicine x Number of units per day x Duration of treatment in days</w:t>
      </w:r>
    </w:p>
    <w:p w14:paraId="45220FC7" w14:textId="77777777" w:rsidR="0018661D" w:rsidRPr="0018661D" w:rsidRDefault="0018661D" w:rsidP="00465678">
      <w:pPr>
        <w:rPr>
          <w:b/>
        </w:rPr>
      </w:pPr>
      <w:r w:rsidRPr="0018661D">
        <w:rPr>
          <w:b/>
        </w:rPr>
        <w:t>Worked example: the treatment of depression using fluoxetine in Afghanistan</w:t>
      </w:r>
    </w:p>
    <w:p w14:paraId="6DA324BE" w14:textId="77777777" w:rsidR="0018661D" w:rsidRPr="0018661D" w:rsidRDefault="0018661D" w:rsidP="00465678">
      <w:pPr>
        <w:numPr>
          <w:ilvl w:val="0"/>
          <w:numId w:val="5"/>
        </w:numPr>
        <w:rPr>
          <w:b/>
        </w:rPr>
      </w:pPr>
      <w:r w:rsidRPr="0018661D">
        <w:rPr>
          <w:b/>
        </w:rPr>
        <w:t xml:space="preserve">How to find the: </w:t>
      </w:r>
      <w:r w:rsidRPr="0018661D">
        <w:rPr>
          <w:b/>
          <w:i/>
        </w:rPr>
        <w:t>Number of cases to be treated</w:t>
      </w:r>
    </w:p>
    <w:p w14:paraId="26C59193" w14:textId="086212A2" w:rsidR="0018661D" w:rsidRPr="0018661D" w:rsidRDefault="0018661D" w:rsidP="00C3024E">
      <w:pPr>
        <w:spacing w:before="160"/>
      </w:pPr>
      <w:r w:rsidRPr="0018661D">
        <w:t>The number of cases to be treated per 1</w:t>
      </w:r>
      <w:r w:rsidR="00763B1A">
        <w:t> </w:t>
      </w:r>
      <w:r w:rsidRPr="0018661D">
        <w:t>000</w:t>
      </w:r>
      <w:r w:rsidR="00763B1A">
        <w:t> </w:t>
      </w:r>
      <w:r w:rsidRPr="0018661D">
        <w:t>000 population can be estimated from the prevalence, the proportion of cases who appropriate for treatment with medication, and the coverage target.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1508"/>
      </w:tblGrid>
      <w:tr w:rsidR="0018661D" w:rsidRPr="0018661D" w14:paraId="7B6C0CA7" w14:textId="77777777" w:rsidTr="00255156">
        <w:tc>
          <w:tcPr>
            <w:tcW w:w="2405" w:type="dxa"/>
            <w:vAlign w:val="center"/>
          </w:tcPr>
          <w:p w14:paraId="046E7452" w14:textId="77777777" w:rsidR="0018661D" w:rsidRPr="0025796E" w:rsidRDefault="0018661D" w:rsidP="0018661D">
            <w:pPr>
              <w:jc w:val="center"/>
              <w:rPr>
                <w:b/>
                <w:bCs/>
              </w:rPr>
            </w:pPr>
            <w:r w:rsidRPr="0025796E">
              <w:rPr>
                <w:b/>
                <w:bCs/>
              </w:rPr>
              <w:t>Question</w:t>
            </w:r>
          </w:p>
        </w:tc>
        <w:tc>
          <w:tcPr>
            <w:tcW w:w="5103" w:type="dxa"/>
            <w:vAlign w:val="center"/>
          </w:tcPr>
          <w:p w14:paraId="1C711EF2" w14:textId="77777777" w:rsidR="0018661D" w:rsidRPr="0025796E" w:rsidRDefault="0018661D" w:rsidP="0018661D">
            <w:pPr>
              <w:jc w:val="center"/>
              <w:rPr>
                <w:b/>
                <w:bCs/>
              </w:rPr>
            </w:pPr>
            <w:r w:rsidRPr="0025796E">
              <w:rPr>
                <w:b/>
                <w:bCs/>
              </w:rPr>
              <w:t>Example using depressive disorder</w:t>
            </w:r>
          </w:p>
        </w:tc>
        <w:tc>
          <w:tcPr>
            <w:tcW w:w="1508" w:type="dxa"/>
            <w:vAlign w:val="center"/>
          </w:tcPr>
          <w:p w14:paraId="3ABCE362" w14:textId="1B4729F2" w:rsidR="0018661D" w:rsidRPr="0025796E" w:rsidRDefault="0018661D" w:rsidP="0018661D">
            <w:pPr>
              <w:jc w:val="center"/>
              <w:rPr>
                <w:b/>
                <w:bCs/>
              </w:rPr>
            </w:pPr>
            <w:r w:rsidRPr="0025796E">
              <w:rPr>
                <w:b/>
                <w:bCs/>
              </w:rPr>
              <w:t>Number per 1</w:t>
            </w:r>
            <w:r w:rsidR="00763B1A" w:rsidRPr="0025796E">
              <w:rPr>
                <w:b/>
                <w:bCs/>
              </w:rPr>
              <w:t> </w:t>
            </w:r>
            <w:r w:rsidRPr="0025796E">
              <w:rPr>
                <w:b/>
                <w:bCs/>
              </w:rPr>
              <w:t>000</w:t>
            </w:r>
            <w:r w:rsidR="00763B1A" w:rsidRPr="0025796E">
              <w:rPr>
                <w:b/>
                <w:bCs/>
              </w:rPr>
              <w:t> </w:t>
            </w:r>
            <w:r w:rsidRPr="0025796E">
              <w:rPr>
                <w:b/>
                <w:bCs/>
              </w:rPr>
              <w:t>000</w:t>
            </w:r>
          </w:p>
        </w:tc>
      </w:tr>
      <w:tr w:rsidR="0018661D" w:rsidRPr="0018661D" w14:paraId="28936408" w14:textId="77777777" w:rsidTr="00255156">
        <w:tc>
          <w:tcPr>
            <w:tcW w:w="2405" w:type="dxa"/>
            <w:vAlign w:val="center"/>
          </w:tcPr>
          <w:p w14:paraId="7B2E4BA4" w14:textId="77777777" w:rsidR="0018661D" w:rsidRPr="0018661D" w:rsidRDefault="0018661D" w:rsidP="0018661D">
            <w:pPr>
              <w:numPr>
                <w:ilvl w:val="0"/>
                <w:numId w:val="1"/>
              </w:numPr>
              <w:contextualSpacing/>
            </w:pPr>
            <w:r w:rsidRPr="0018661D">
              <w:t>What is the prevalence of the disorder?</w:t>
            </w:r>
          </w:p>
        </w:tc>
        <w:tc>
          <w:tcPr>
            <w:tcW w:w="5103" w:type="dxa"/>
            <w:vAlign w:val="center"/>
          </w:tcPr>
          <w:p w14:paraId="3A18BEDA" w14:textId="77777777" w:rsidR="0018661D" w:rsidRPr="0018661D" w:rsidRDefault="0018661D" w:rsidP="0018661D">
            <w:r w:rsidRPr="0018661D">
              <w:t>The prevalence for depressive disorders in Afghanistan is 3.3% of the adult population aged 15 and over.</w:t>
            </w:r>
            <w:r w:rsidRPr="0018661D">
              <w:rPr>
                <w:vertAlign w:val="superscript"/>
              </w:rPr>
              <w:footnoteReference w:id="1"/>
            </w:r>
          </w:p>
        </w:tc>
        <w:tc>
          <w:tcPr>
            <w:tcW w:w="1508" w:type="dxa"/>
            <w:vAlign w:val="center"/>
          </w:tcPr>
          <w:p w14:paraId="7928AD75" w14:textId="4B57BE23" w:rsidR="0018661D" w:rsidRPr="0018661D" w:rsidRDefault="0018661D" w:rsidP="0018661D">
            <w:pPr>
              <w:jc w:val="center"/>
            </w:pPr>
            <w:r w:rsidRPr="0018661D">
              <w:t>33</w:t>
            </w:r>
            <w:r w:rsidR="00763B1A">
              <w:t> </w:t>
            </w:r>
            <w:r w:rsidRPr="0018661D">
              <w:t>000</w:t>
            </w:r>
          </w:p>
        </w:tc>
      </w:tr>
      <w:tr w:rsidR="0018661D" w:rsidRPr="0018661D" w14:paraId="6A299B4F" w14:textId="77777777" w:rsidTr="00255156">
        <w:tc>
          <w:tcPr>
            <w:tcW w:w="2405" w:type="dxa"/>
            <w:vAlign w:val="center"/>
          </w:tcPr>
          <w:p w14:paraId="39714A91" w14:textId="77777777" w:rsidR="0018661D" w:rsidRPr="0018661D" w:rsidRDefault="0018661D" w:rsidP="0018661D">
            <w:pPr>
              <w:numPr>
                <w:ilvl w:val="0"/>
                <w:numId w:val="1"/>
              </w:numPr>
              <w:contextualSpacing/>
            </w:pPr>
            <w:r w:rsidRPr="0018661D">
              <w:t>How many cases need treatment with antidepressant medication?</w:t>
            </w:r>
          </w:p>
        </w:tc>
        <w:tc>
          <w:tcPr>
            <w:tcW w:w="5103" w:type="dxa"/>
            <w:vAlign w:val="center"/>
          </w:tcPr>
          <w:p w14:paraId="4A467757" w14:textId="050F8F4A" w:rsidR="0018661D" w:rsidRPr="0018661D" w:rsidRDefault="0018661D" w:rsidP="0018661D">
            <w:r w:rsidRPr="0018661D">
              <w:t>The total prevalence (above) includes the full range of severities, many of which are mild and do not require medication treatment. Approximately</w:t>
            </w:r>
            <w:r w:rsidR="0025796E">
              <w:t>,</w:t>
            </w:r>
            <w:r w:rsidRPr="0018661D">
              <w:t xml:space="preserve"> 33% of all cases are at least moderately severe and are appropriate for treatment with medication.</w:t>
            </w:r>
          </w:p>
        </w:tc>
        <w:tc>
          <w:tcPr>
            <w:tcW w:w="1508" w:type="dxa"/>
            <w:vAlign w:val="center"/>
          </w:tcPr>
          <w:p w14:paraId="0C5D1635" w14:textId="53E1A310" w:rsidR="0018661D" w:rsidRPr="0018661D" w:rsidRDefault="0018661D" w:rsidP="0018661D">
            <w:pPr>
              <w:jc w:val="center"/>
            </w:pPr>
            <w:r w:rsidRPr="0018661D">
              <w:t>11</w:t>
            </w:r>
            <w:r w:rsidR="00763B1A">
              <w:t> </w:t>
            </w:r>
            <w:r w:rsidRPr="0018661D">
              <w:t>000</w:t>
            </w:r>
          </w:p>
        </w:tc>
      </w:tr>
      <w:tr w:rsidR="0018661D" w:rsidRPr="0018661D" w14:paraId="39781CD6" w14:textId="77777777" w:rsidTr="00255156">
        <w:tc>
          <w:tcPr>
            <w:tcW w:w="2405" w:type="dxa"/>
            <w:vAlign w:val="center"/>
          </w:tcPr>
          <w:p w14:paraId="59381E68" w14:textId="77777777" w:rsidR="0018661D" w:rsidRPr="0018661D" w:rsidRDefault="0018661D" w:rsidP="0018661D">
            <w:pPr>
              <w:numPr>
                <w:ilvl w:val="0"/>
                <w:numId w:val="1"/>
              </w:numPr>
              <w:contextualSpacing/>
            </w:pPr>
            <w:r w:rsidRPr="0018661D">
              <w:t>What is the coverage target?</w:t>
            </w:r>
          </w:p>
        </w:tc>
        <w:tc>
          <w:tcPr>
            <w:tcW w:w="5103" w:type="dxa"/>
            <w:vAlign w:val="center"/>
          </w:tcPr>
          <w:p w14:paraId="58F36D85" w14:textId="63490425" w:rsidR="0018661D" w:rsidRPr="0018661D" w:rsidRDefault="0018661D" w:rsidP="0018661D">
            <w:r w:rsidRPr="0018661D">
              <w:t>The coverage target can be adjusted to match local circumstances and resources. Starting from a low baseline (e.g. 5</w:t>
            </w:r>
            <w:r w:rsidR="00FE7ED4">
              <w:sym w:font="Symbol" w:char="F02D"/>
            </w:r>
            <w:r w:rsidRPr="0018661D">
              <w:t>10%)</w:t>
            </w:r>
            <w:r w:rsidR="00C70794">
              <w:t>,</w:t>
            </w:r>
            <w:r w:rsidRPr="0018661D">
              <w:t xml:space="preserve"> it may be impractical to aim for a very high (e.g. 80%) coverage target. In this example, 50% coverage is used as a feasible goal.</w:t>
            </w:r>
          </w:p>
        </w:tc>
        <w:tc>
          <w:tcPr>
            <w:tcW w:w="1508" w:type="dxa"/>
            <w:vAlign w:val="center"/>
          </w:tcPr>
          <w:p w14:paraId="0DBD7D2F" w14:textId="12398C89" w:rsidR="0018661D" w:rsidRPr="0018661D" w:rsidRDefault="0018661D" w:rsidP="0018661D">
            <w:pPr>
              <w:jc w:val="center"/>
            </w:pPr>
            <w:r w:rsidRPr="0018661D">
              <w:t>5500</w:t>
            </w:r>
          </w:p>
        </w:tc>
      </w:tr>
    </w:tbl>
    <w:p w14:paraId="613FE4B4" w14:textId="77777777" w:rsidR="00465678" w:rsidRDefault="00465678" w:rsidP="00465678"/>
    <w:p w14:paraId="543C8D37" w14:textId="02D284DE" w:rsidR="0018661D" w:rsidRPr="0018661D" w:rsidRDefault="0018661D" w:rsidP="00465678">
      <w:r w:rsidRPr="0018661D">
        <w:t>Thus the number of cases to be treated to achieve 50% coverage is 5500 per 1</w:t>
      </w:r>
      <w:r w:rsidR="00763B1A">
        <w:t> </w:t>
      </w:r>
      <w:r w:rsidRPr="0018661D">
        <w:t>000</w:t>
      </w:r>
      <w:r w:rsidR="00763B1A">
        <w:t> </w:t>
      </w:r>
      <w:r w:rsidRPr="0018661D">
        <w:t>000 adult population.</w:t>
      </w:r>
    </w:p>
    <w:p w14:paraId="1F9E060C" w14:textId="77777777" w:rsidR="0018661D" w:rsidRPr="0018661D" w:rsidRDefault="0018661D" w:rsidP="00465678">
      <w:pPr>
        <w:numPr>
          <w:ilvl w:val="0"/>
          <w:numId w:val="5"/>
        </w:numPr>
        <w:rPr>
          <w:b/>
        </w:rPr>
      </w:pPr>
      <w:r w:rsidRPr="0018661D">
        <w:rPr>
          <w:b/>
        </w:rPr>
        <w:t xml:space="preserve">How to find the: </w:t>
      </w:r>
      <w:r w:rsidRPr="0018661D">
        <w:rPr>
          <w:b/>
          <w:i/>
        </w:rPr>
        <w:t>Price per unit of medicine</w:t>
      </w:r>
    </w:p>
    <w:p w14:paraId="0C5ABEEC" w14:textId="2908284F" w:rsidR="0018661D" w:rsidRPr="0018661D" w:rsidRDefault="0018661D" w:rsidP="0018661D">
      <w:r w:rsidRPr="0018661D">
        <w:t xml:space="preserve">You may have your own local data on the price of medication, or you could search the </w:t>
      </w:r>
      <w:r w:rsidR="003E481A">
        <w:t>d</w:t>
      </w:r>
      <w:r w:rsidRPr="0018661D">
        <w:t xml:space="preserve">atabase of medicine prices, availability, affordability and price components at </w:t>
      </w:r>
      <w:hyperlink r:id="rId7" w:history="1">
        <w:r w:rsidR="00FE7ED4" w:rsidRPr="00CC09F9">
          <w:rPr>
            <w:rStyle w:val="Hyperlink"/>
          </w:rPr>
          <w:t>http://www.haiweb.org/MedPriceDatabase/</w:t>
        </w:r>
      </w:hyperlink>
      <w:r w:rsidRPr="0018661D">
        <w:t xml:space="preserve"> .  When you land on the </w:t>
      </w:r>
      <w:proofErr w:type="spellStart"/>
      <w:r w:rsidRPr="0018661D">
        <w:t>haiweb</w:t>
      </w:r>
      <w:proofErr w:type="spellEnd"/>
      <w:r w:rsidRPr="0018661D">
        <w:t xml:space="preserve"> page, you will see guidance on how to use the database on the right, and </w:t>
      </w:r>
      <w:r w:rsidR="003E481A">
        <w:t xml:space="preserve">the </w:t>
      </w:r>
      <w:r w:rsidRPr="0018661D">
        <w:t>criteria that you can carry out your “Analysis by” on the right. For example, to find the price of fluoxetine in Afghanistan:</w:t>
      </w:r>
    </w:p>
    <w:p w14:paraId="105B1EEE" w14:textId="021B7134" w:rsidR="0018661D" w:rsidRPr="0018661D" w:rsidRDefault="0018661D" w:rsidP="00FE7ED4">
      <w:pPr>
        <w:numPr>
          <w:ilvl w:val="0"/>
          <w:numId w:val="2"/>
        </w:numPr>
        <w:ind w:left="360"/>
        <w:contextualSpacing/>
      </w:pPr>
      <w:r w:rsidRPr="0018661D">
        <w:t>Expand: “Price and availability by medicine”</w:t>
      </w:r>
    </w:p>
    <w:p w14:paraId="12BE56F9" w14:textId="71D27E7A" w:rsidR="0018661D" w:rsidRPr="0018661D" w:rsidRDefault="0018661D" w:rsidP="00FE7ED4">
      <w:pPr>
        <w:numPr>
          <w:ilvl w:val="0"/>
          <w:numId w:val="2"/>
        </w:numPr>
        <w:ind w:left="360"/>
        <w:contextualSpacing/>
      </w:pPr>
      <w:r w:rsidRPr="0018661D">
        <w:t>Expand: “By therapeutic group (WHO EML classification)”</w:t>
      </w:r>
    </w:p>
    <w:p w14:paraId="2B1B3F03" w14:textId="334AFD11" w:rsidR="0018661D" w:rsidRPr="0018661D" w:rsidRDefault="0018661D" w:rsidP="00FE7ED4">
      <w:pPr>
        <w:numPr>
          <w:ilvl w:val="0"/>
          <w:numId w:val="2"/>
        </w:numPr>
        <w:ind w:left="360"/>
        <w:contextualSpacing/>
      </w:pPr>
      <w:r w:rsidRPr="0018661D">
        <w:t>Expand: “24 - Psychotherapeutic medicines”</w:t>
      </w:r>
    </w:p>
    <w:p w14:paraId="4F4D248A" w14:textId="5EDB5190" w:rsidR="0018661D" w:rsidRPr="0018661D" w:rsidRDefault="0018661D" w:rsidP="00FE7ED4">
      <w:pPr>
        <w:numPr>
          <w:ilvl w:val="0"/>
          <w:numId w:val="2"/>
        </w:numPr>
        <w:ind w:left="360"/>
        <w:contextualSpacing/>
      </w:pPr>
      <w:r w:rsidRPr="0018661D">
        <w:t>Expand: “Fluoxetine”</w:t>
      </w:r>
    </w:p>
    <w:p w14:paraId="5D7FA2CA" w14:textId="1ED4D9BB" w:rsidR="0018661D" w:rsidRPr="0018661D" w:rsidRDefault="0018661D" w:rsidP="00FE7ED4">
      <w:pPr>
        <w:numPr>
          <w:ilvl w:val="0"/>
          <w:numId w:val="2"/>
        </w:numPr>
        <w:ind w:left="360"/>
        <w:contextualSpacing/>
      </w:pPr>
      <w:r w:rsidRPr="0018661D">
        <w:t>Expand: “Fluoxetine 20 mg cap/tab”</w:t>
      </w:r>
    </w:p>
    <w:p w14:paraId="0495055D" w14:textId="77777777" w:rsidR="0018661D" w:rsidRPr="0018661D" w:rsidRDefault="0018661D" w:rsidP="00FE7ED4">
      <w:pPr>
        <w:numPr>
          <w:ilvl w:val="0"/>
          <w:numId w:val="2"/>
        </w:numPr>
        <w:ind w:left="360"/>
        <w:contextualSpacing/>
      </w:pPr>
      <w:r w:rsidRPr="0018661D">
        <w:t>Select: “All reference price sources”</w:t>
      </w:r>
    </w:p>
    <w:p w14:paraId="63FB7C6D" w14:textId="77777777" w:rsidR="0018661D" w:rsidRPr="0018661D" w:rsidRDefault="0018661D" w:rsidP="00FE7ED4">
      <w:pPr>
        <w:numPr>
          <w:ilvl w:val="0"/>
          <w:numId w:val="2"/>
        </w:numPr>
        <w:ind w:left="360"/>
        <w:contextualSpacing/>
      </w:pPr>
      <w:r w:rsidRPr="0018661D">
        <w:lastRenderedPageBreak/>
        <w:t>In the new selection area in the middle of the page, untick: “Select all/Deselect all”</w:t>
      </w:r>
    </w:p>
    <w:p w14:paraId="41E151EA" w14:textId="77777777" w:rsidR="0018661D" w:rsidRPr="0018661D" w:rsidRDefault="0018661D" w:rsidP="00FE7ED4">
      <w:pPr>
        <w:numPr>
          <w:ilvl w:val="0"/>
          <w:numId w:val="2"/>
        </w:numPr>
        <w:ind w:left="360"/>
        <w:contextualSpacing/>
      </w:pPr>
      <w:r w:rsidRPr="0018661D">
        <w:t>Scroll down and tick: “Afghanistan November 2011”</w:t>
      </w:r>
    </w:p>
    <w:p w14:paraId="7C10628F" w14:textId="77777777" w:rsidR="0018661D" w:rsidRPr="0018661D" w:rsidRDefault="0018661D" w:rsidP="00FE7ED4">
      <w:pPr>
        <w:numPr>
          <w:ilvl w:val="0"/>
          <w:numId w:val="2"/>
        </w:numPr>
        <w:ind w:left="360"/>
        <w:contextualSpacing/>
      </w:pPr>
      <w:r w:rsidRPr="0018661D">
        <w:t>Scroll to the top and select “Show data for selected surveys”</w:t>
      </w:r>
    </w:p>
    <w:p w14:paraId="1BA1FF03" w14:textId="1A4CA5FC" w:rsidR="0018661D" w:rsidRPr="0018661D" w:rsidRDefault="0018661D" w:rsidP="00FE7ED4">
      <w:pPr>
        <w:numPr>
          <w:ilvl w:val="0"/>
          <w:numId w:val="2"/>
        </w:numPr>
        <w:ind w:left="360"/>
        <w:contextualSpacing/>
      </w:pPr>
      <w:r w:rsidRPr="0018661D">
        <w:t>At the right of the page under “Analysis by” use the drop</w:t>
      </w:r>
      <w:r w:rsidR="008A1D67">
        <w:t>-</w:t>
      </w:r>
      <w:r w:rsidRPr="0018661D">
        <w:t>down menu to select “US $”.</w:t>
      </w:r>
    </w:p>
    <w:p w14:paraId="30C0E1B2" w14:textId="0E37DC0D" w:rsidR="0018661D" w:rsidRPr="0018661D" w:rsidRDefault="0018661D" w:rsidP="00465678">
      <w:pPr>
        <w:numPr>
          <w:ilvl w:val="0"/>
          <w:numId w:val="2"/>
        </w:numPr>
        <w:spacing w:after="120"/>
        <w:ind w:left="360"/>
      </w:pPr>
      <w:r w:rsidRPr="0018661D">
        <w:t xml:space="preserve">In the table, read across from “Lowest price generic”, under “Price”, you will see the unit (tablet) price for fluoxetine 20mgs: </w:t>
      </w:r>
      <w:r w:rsidR="00960A58">
        <w:t> </w:t>
      </w:r>
      <w:r w:rsidR="00FE7ED4" w:rsidRPr="0018661D">
        <w:t>US$</w:t>
      </w:r>
      <w:r w:rsidR="00FE7ED4">
        <w:t> </w:t>
      </w:r>
      <w:r w:rsidRPr="0018661D">
        <w:t>0.028</w:t>
      </w:r>
      <w:r w:rsidR="00FE7ED4">
        <w:t xml:space="preserve"> </w:t>
      </w:r>
      <w:r w:rsidRPr="0018661D">
        <w:t>(database accessed on 14.05.2017)</w:t>
      </w:r>
      <w:r w:rsidR="00465678">
        <w:t>.</w:t>
      </w:r>
    </w:p>
    <w:p w14:paraId="729F27B4" w14:textId="594F06F1" w:rsidR="0018661D" w:rsidRPr="0018661D" w:rsidRDefault="0018661D" w:rsidP="0018661D">
      <w:r w:rsidRPr="0018661D">
        <w:t xml:space="preserve">Thus the price of a unit of the usual daily dose of fluoxetine 20mgs: </w:t>
      </w:r>
      <w:r w:rsidR="00FE7ED4" w:rsidRPr="0018661D">
        <w:t>US$</w:t>
      </w:r>
      <w:r w:rsidR="00960A58">
        <w:t> </w:t>
      </w:r>
      <w:r w:rsidRPr="0018661D">
        <w:t>0.028.</w:t>
      </w:r>
    </w:p>
    <w:p w14:paraId="7BEA54CB" w14:textId="77777777" w:rsidR="0018661D" w:rsidRPr="0018661D" w:rsidRDefault="0018661D" w:rsidP="00465678">
      <w:pPr>
        <w:numPr>
          <w:ilvl w:val="0"/>
          <w:numId w:val="5"/>
        </w:numPr>
        <w:rPr>
          <w:b/>
          <w:i/>
        </w:rPr>
      </w:pPr>
      <w:r w:rsidRPr="0018661D">
        <w:rPr>
          <w:b/>
        </w:rPr>
        <w:t xml:space="preserve">How to find the: </w:t>
      </w:r>
      <w:r w:rsidRPr="0018661D">
        <w:rPr>
          <w:b/>
          <w:i/>
        </w:rPr>
        <w:t xml:space="preserve">Duration of treatment </w:t>
      </w:r>
      <w:r w:rsidRPr="0018661D">
        <w:rPr>
          <w:b/>
        </w:rPr>
        <w:t xml:space="preserve">and </w:t>
      </w:r>
      <w:r w:rsidRPr="0018661D">
        <w:rPr>
          <w:b/>
          <w:i/>
        </w:rPr>
        <w:t>Number of units per day</w:t>
      </w:r>
    </w:p>
    <w:p w14:paraId="67C3F9C3" w14:textId="529C6A34" w:rsidR="0018661D" w:rsidRPr="0018661D" w:rsidRDefault="0018661D" w:rsidP="0018661D">
      <w:r w:rsidRPr="0018661D">
        <w:t xml:space="preserve">Guidelines, such as the </w:t>
      </w:r>
      <w:proofErr w:type="spellStart"/>
      <w:r w:rsidRPr="0018661D">
        <w:t>mhGAP</w:t>
      </w:r>
      <w:proofErr w:type="spellEnd"/>
      <w:r w:rsidRPr="0018661D">
        <w:t xml:space="preserve"> intervention guide (Version 2.0) can be used as a source for duration of treatment and number of units per day.</w:t>
      </w:r>
    </w:p>
    <w:p w14:paraId="64519E28" w14:textId="6E794C75" w:rsidR="0018661D" w:rsidRPr="0018661D" w:rsidRDefault="0018661D" w:rsidP="0018661D">
      <w:r w:rsidRPr="0018661D">
        <w:t>For example: “antidepressant medications usually need to be continued for at least 9</w:t>
      </w:r>
      <w:r w:rsidR="00FE7ED4">
        <w:sym w:font="Symbol" w:char="F02D"/>
      </w:r>
      <w:r w:rsidRPr="0018661D">
        <w:t>12 months after the resolution of symptoms.”</w:t>
      </w:r>
      <w:r w:rsidRPr="0018661D">
        <w:rPr>
          <w:vertAlign w:val="superscript"/>
        </w:rPr>
        <w:footnoteReference w:id="2"/>
      </w:r>
      <w:r w:rsidRPr="0018661D">
        <w:t xml:space="preserve">  Since it usually takes at least </w:t>
      </w:r>
      <w:r w:rsidR="00B255EE">
        <w:t>6</w:t>
      </w:r>
      <w:r w:rsidRPr="0018661D">
        <w:t xml:space="preserve"> weeks for the resolution of symptoms after commencing treatment with fluoxetine, then a course of treatment is likely to last for 12 months. Thus the typical duration of antidepressant treatment is 365 days.</w:t>
      </w:r>
    </w:p>
    <w:p w14:paraId="2659A1B1" w14:textId="37DC1052" w:rsidR="0018661D" w:rsidRPr="0018661D" w:rsidRDefault="0018661D" w:rsidP="00465678">
      <w:r w:rsidRPr="0018661D">
        <w:t xml:space="preserve">On page 29, the </w:t>
      </w:r>
      <w:proofErr w:type="spellStart"/>
      <w:r w:rsidRPr="0018661D">
        <w:t>mhGAP</w:t>
      </w:r>
      <w:proofErr w:type="spellEnd"/>
      <w:r w:rsidRPr="0018661D">
        <w:t xml:space="preserve"> IG V2 indicates the dosing for fluoxetine: “Start 10</w:t>
      </w:r>
      <w:r w:rsidR="00960A58">
        <w:t> </w:t>
      </w:r>
      <w:r w:rsidRPr="0018661D">
        <w:t>mg daily for one week then 20 mg daily. If no response in 6 weeks, increase to 40</w:t>
      </w:r>
      <w:r w:rsidR="00960A58">
        <w:t> </w:t>
      </w:r>
      <w:r w:rsidRPr="0018661D">
        <w:t>mg (maximum 80</w:t>
      </w:r>
      <w:r w:rsidR="00960A58">
        <w:t> </w:t>
      </w:r>
      <w:r w:rsidRPr="0018661D">
        <w:t>mg)”. Thus the usual daily dose for someone who responds to fluoxetine is 20</w:t>
      </w:r>
      <w:r w:rsidR="00960A58">
        <w:t> </w:t>
      </w:r>
      <w:r w:rsidRPr="0018661D">
        <w:t>mg daily.</w:t>
      </w:r>
    </w:p>
    <w:p w14:paraId="35B77874" w14:textId="77777777" w:rsidR="0018661D" w:rsidRPr="0018661D" w:rsidRDefault="0018661D" w:rsidP="004D49B4">
      <w:pPr>
        <w:numPr>
          <w:ilvl w:val="0"/>
          <w:numId w:val="5"/>
        </w:numPr>
      </w:pPr>
      <w:r w:rsidRPr="0018661D">
        <w:rPr>
          <w:b/>
        </w:rPr>
        <w:t>Calculation of annual price of fluoxetine</w:t>
      </w:r>
    </w:p>
    <w:p w14:paraId="5A94C106" w14:textId="4C5B61BD" w:rsidR="0018661D" w:rsidRPr="0018661D" w:rsidRDefault="0018661D" w:rsidP="0018661D">
      <w:r w:rsidRPr="0018661D">
        <w:t>For one person with depression to be treated for one year, the price of fluoxetine 20</w:t>
      </w:r>
      <w:r w:rsidR="00FE7ED4">
        <w:t> </w:t>
      </w:r>
      <w:r w:rsidRPr="0018661D">
        <w:t>mgs per day is:</w:t>
      </w:r>
    </w:p>
    <w:p w14:paraId="17BDD694" w14:textId="29051526" w:rsidR="0018661D" w:rsidRPr="0018661D" w:rsidRDefault="0018661D" w:rsidP="00465678">
      <w:pPr>
        <w:numPr>
          <w:ilvl w:val="0"/>
          <w:numId w:val="3"/>
        </w:numPr>
        <w:ind w:left="360"/>
      </w:pPr>
      <w:r w:rsidRPr="0018661D">
        <w:t>Price per unit of medicine (</w:t>
      </w:r>
      <w:r w:rsidR="00C73E62" w:rsidRPr="0018661D">
        <w:t>US$</w:t>
      </w:r>
      <w:r w:rsidR="00C73E62">
        <w:t> </w:t>
      </w:r>
      <w:r w:rsidRPr="0018661D">
        <w:t xml:space="preserve">0.028) x Number of units per day (1) x Duration of treatment (365 days) = </w:t>
      </w:r>
      <w:r w:rsidR="00C73E62" w:rsidRPr="0018661D">
        <w:t>US$</w:t>
      </w:r>
      <w:r w:rsidR="00C73E62">
        <w:t> </w:t>
      </w:r>
      <w:r w:rsidRPr="0018661D">
        <w:t>10.22</w:t>
      </w:r>
    </w:p>
    <w:p w14:paraId="1A273435" w14:textId="539B2215" w:rsidR="0018661D" w:rsidRPr="0018661D" w:rsidRDefault="0018661D" w:rsidP="0018661D">
      <w:r w:rsidRPr="0018661D">
        <w:t>Applying the figures to the formula (above) to calculate the annual price for 50% coverage of a population of 1</w:t>
      </w:r>
      <w:r w:rsidR="00960A58">
        <w:t> </w:t>
      </w:r>
      <w:r w:rsidRPr="0018661D">
        <w:t>000</w:t>
      </w:r>
      <w:r w:rsidR="00960A58">
        <w:t> </w:t>
      </w:r>
      <w:r w:rsidRPr="0018661D">
        <w:t>000 adults:</w:t>
      </w:r>
    </w:p>
    <w:p w14:paraId="6D0A8342" w14:textId="568A7A21" w:rsidR="0018661D" w:rsidRPr="0018661D" w:rsidRDefault="0018661D" w:rsidP="00465678">
      <w:pPr>
        <w:numPr>
          <w:ilvl w:val="0"/>
          <w:numId w:val="3"/>
        </w:numPr>
        <w:ind w:left="360"/>
      </w:pPr>
      <w:r w:rsidRPr="0018661D">
        <w:t>Number of cases to be treated (5500) x Price per unit of medicine (</w:t>
      </w:r>
      <w:r w:rsidR="004B3D25" w:rsidRPr="0018661D">
        <w:t>US$</w:t>
      </w:r>
      <w:r w:rsidR="004B3D25">
        <w:t> </w:t>
      </w:r>
      <w:r w:rsidRPr="0018661D">
        <w:t xml:space="preserve">0.028) x Number of units per day (1) x Duration of treatment (365 days) = </w:t>
      </w:r>
      <w:r w:rsidR="004B3D25" w:rsidRPr="0018661D">
        <w:t>US$</w:t>
      </w:r>
      <w:r w:rsidR="004B3D25">
        <w:t> </w:t>
      </w:r>
      <w:r w:rsidRPr="0018661D">
        <w:t>56</w:t>
      </w:r>
      <w:r w:rsidR="00960A58">
        <w:t> </w:t>
      </w:r>
      <w:r w:rsidRPr="0018661D">
        <w:t>210.</w:t>
      </w:r>
    </w:p>
    <w:p w14:paraId="37950052" w14:textId="6332E4D1" w:rsidR="0018661D" w:rsidRPr="0018661D" w:rsidRDefault="0018661D" w:rsidP="0018661D">
      <w:r w:rsidRPr="0018661D">
        <w:t xml:space="preserve">This calculation can be adapted </w:t>
      </w:r>
      <w:r w:rsidR="00883BF8">
        <w:t xml:space="preserve">as </w:t>
      </w:r>
      <w:r w:rsidRPr="0018661D">
        <w:t>guidance for different population sizes and for different levels of coverage.</w:t>
      </w:r>
    </w:p>
    <w:p w14:paraId="6A3A2C51" w14:textId="44A4DE5D" w:rsidR="0018661D" w:rsidRPr="0018661D" w:rsidRDefault="0018661D" w:rsidP="0018661D">
      <w:r w:rsidRPr="0018661D">
        <w:t>The adult (aged 15 years and over) population of Afghanistan is 19</w:t>
      </w:r>
      <w:r w:rsidR="00C73E62">
        <w:t> </w:t>
      </w:r>
      <w:r w:rsidRPr="0018661D">
        <w:t>650</w:t>
      </w:r>
      <w:r w:rsidR="00C73E62">
        <w:t> </w:t>
      </w:r>
      <w:r w:rsidRPr="0018661D">
        <w:t>688 (at the start of 2017). Thus the target number of cases of depression to be treated in Afghanistan each year to achieve 50% coverage is: 5500 x 19.65 = 108</w:t>
      </w:r>
      <w:r w:rsidR="00960A58">
        <w:t> </w:t>
      </w:r>
      <w:r w:rsidRPr="0018661D">
        <w:t>075 people.</w:t>
      </w:r>
    </w:p>
    <w:p w14:paraId="54C31A28" w14:textId="1DA42411" w:rsidR="0018661D" w:rsidRPr="0018661D" w:rsidRDefault="0018661D" w:rsidP="000752B7">
      <w:pPr>
        <w:numPr>
          <w:ilvl w:val="0"/>
          <w:numId w:val="3"/>
        </w:numPr>
        <w:ind w:left="360"/>
      </w:pPr>
      <w:r w:rsidRPr="0018661D">
        <w:t>Number of cases to be treated (108</w:t>
      </w:r>
      <w:r w:rsidR="00960A58">
        <w:t> </w:t>
      </w:r>
      <w:r w:rsidRPr="0018661D">
        <w:t>075) x Price per unit of medicine (</w:t>
      </w:r>
      <w:r w:rsidR="00C73E62" w:rsidRPr="0018661D">
        <w:t>US$</w:t>
      </w:r>
      <w:r w:rsidR="00C73E62">
        <w:t> </w:t>
      </w:r>
      <w:r w:rsidRPr="0018661D">
        <w:t xml:space="preserve">0.028) x Number of units per day (1) x Duration of treatment (365 days) = </w:t>
      </w:r>
      <w:r w:rsidR="00C73E62" w:rsidRPr="0018661D">
        <w:t>US$</w:t>
      </w:r>
      <w:r w:rsidR="00C73E62">
        <w:t> </w:t>
      </w:r>
      <w:r w:rsidRPr="0018661D">
        <w:t>1</w:t>
      </w:r>
      <w:r w:rsidR="00960A58">
        <w:t> </w:t>
      </w:r>
      <w:r w:rsidRPr="0018661D">
        <w:t>104</w:t>
      </w:r>
      <w:r w:rsidR="00960A58">
        <w:t> </w:t>
      </w:r>
      <w:r w:rsidRPr="0018661D">
        <w:t>527.</w:t>
      </w:r>
    </w:p>
    <w:p w14:paraId="5BCF5E99" w14:textId="39A15D80" w:rsidR="0018661D" w:rsidRPr="0018661D" w:rsidRDefault="0018661D" w:rsidP="0018661D">
      <w:r w:rsidRPr="0018661D">
        <w:t>If the coverage target is dropped to 30%, then the target number of cases of depression to be treated falls to 64</w:t>
      </w:r>
      <w:r w:rsidR="00960A58">
        <w:t> </w:t>
      </w:r>
      <w:r w:rsidRPr="0018661D">
        <w:t>845 people; and if the coverage is raised to 80%, the target will be 172</w:t>
      </w:r>
      <w:r w:rsidR="00960A58">
        <w:t> </w:t>
      </w:r>
      <w:r w:rsidRPr="0018661D">
        <w:t xml:space="preserve">920 people. </w:t>
      </w:r>
    </w:p>
    <w:p w14:paraId="3D6D0D44" w14:textId="77777777" w:rsidR="0018661D" w:rsidRPr="0018661D" w:rsidRDefault="0018661D" w:rsidP="0018661D">
      <w:pPr>
        <w:rPr>
          <w:i/>
        </w:rPr>
      </w:pPr>
      <w:r w:rsidRPr="0018661D">
        <w:rPr>
          <w:i/>
        </w:rPr>
        <w:lastRenderedPageBreak/>
        <w:t>For 30% coverage:</w:t>
      </w:r>
    </w:p>
    <w:p w14:paraId="1BA2C2F2" w14:textId="30B5199A" w:rsidR="0018661D" w:rsidRPr="0018661D" w:rsidRDefault="0018661D" w:rsidP="00465678">
      <w:pPr>
        <w:numPr>
          <w:ilvl w:val="0"/>
          <w:numId w:val="3"/>
        </w:numPr>
        <w:ind w:left="360"/>
      </w:pPr>
      <w:r w:rsidRPr="0018661D">
        <w:t>Number of cases to be treated (64</w:t>
      </w:r>
      <w:r w:rsidR="00960A58">
        <w:t> </w:t>
      </w:r>
      <w:r w:rsidRPr="0018661D">
        <w:t>845) x Price per unit of medicine (</w:t>
      </w:r>
      <w:r w:rsidR="00DD6990" w:rsidRPr="0018661D">
        <w:t>US$</w:t>
      </w:r>
      <w:r w:rsidR="00960A58">
        <w:t> </w:t>
      </w:r>
      <w:r w:rsidRPr="0018661D">
        <w:t xml:space="preserve">0.028) x Number of units per day (1) x Duration of treatment (365 days) = </w:t>
      </w:r>
      <w:r w:rsidR="00DD6990" w:rsidRPr="0018661D">
        <w:t>US$</w:t>
      </w:r>
      <w:r w:rsidR="00960A58">
        <w:t> </w:t>
      </w:r>
      <w:r w:rsidRPr="0018661D">
        <w:t>662</w:t>
      </w:r>
      <w:r w:rsidR="00960A58">
        <w:t> </w:t>
      </w:r>
      <w:r w:rsidRPr="0018661D">
        <w:t>716.</w:t>
      </w:r>
    </w:p>
    <w:p w14:paraId="4E1D7E34" w14:textId="77777777" w:rsidR="0018661D" w:rsidRPr="0018661D" w:rsidRDefault="0018661D" w:rsidP="0018661D">
      <w:pPr>
        <w:rPr>
          <w:i/>
        </w:rPr>
      </w:pPr>
      <w:r w:rsidRPr="0018661D">
        <w:rPr>
          <w:i/>
        </w:rPr>
        <w:t>For 80% coverage:</w:t>
      </w:r>
    </w:p>
    <w:p w14:paraId="5C7F64E2" w14:textId="716AF29A" w:rsidR="0018661D" w:rsidRPr="0018661D" w:rsidRDefault="0018661D" w:rsidP="00465678">
      <w:pPr>
        <w:numPr>
          <w:ilvl w:val="0"/>
          <w:numId w:val="3"/>
        </w:numPr>
        <w:ind w:left="360"/>
      </w:pPr>
      <w:r w:rsidRPr="0018661D">
        <w:t>Number of cases to be treated (172</w:t>
      </w:r>
      <w:r w:rsidR="00960A58">
        <w:t> </w:t>
      </w:r>
      <w:r w:rsidRPr="0018661D">
        <w:t>920) x Price per unit of medicine (</w:t>
      </w:r>
      <w:r w:rsidR="00EB44E3" w:rsidRPr="0018661D">
        <w:t>US</w:t>
      </w:r>
      <w:r w:rsidR="00EB44E3" w:rsidRPr="004B3D25">
        <w:t>$ 0</w:t>
      </w:r>
      <w:r w:rsidRPr="004B3D25">
        <w:t>.028</w:t>
      </w:r>
      <w:r w:rsidRPr="0018661D">
        <w:t xml:space="preserve">) x Number of units per day (1) x Duration of treatment (365 days) = </w:t>
      </w:r>
      <w:r w:rsidR="00DD6990" w:rsidRPr="0018661D">
        <w:t>US$</w:t>
      </w:r>
      <w:r w:rsidR="00EB44E3">
        <w:t> </w:t>
      </w:r>
      <w:r w:rsidRPr="0018661D">
        <w:t>1</w:t>
      </w:r>
      <w:r w:rsidR="00960A58">
        <w:t> </w:t>
      </w:r>
      <w:r w:rsidRPr="0018661D">
        <w:t>767</w:t>
      </w:r>
      <w:r w:rsidR="00960A58">
        <w:t> </w:t>
      </w:r>
      <w:r w:rsidRPr="0018661D">
        <w:t>242.</w:t>
      </w:r>
    </w:p>
    <w:p w14:paraId="1E4E23B2" w14:textId="2EE9FDB3" w:rsidR="0018661D" w:rsidRPr="0018661D" w:rsidRDefault="0018661D" w:rsidP="0018661D">
      <w:r w:rsidRPr="0018661D">
        <w:t>The annual price of fluoxetine for a coverage target of 50% in a province with a population aged 15 and over of 2</w:t>
      </w:r>
      <w:r w:rsidR="00960A58">
        <w:t> </w:t>
      </w:r>
      <w:r w:rsidRPr="0018661D">
        <w:t>456</w:t>
      </w:r>
      <w:r w:rsidR="00960A58">
        <w:t> </w:t>
      </w:r>
      <w:r w:rsidRPr="0018661D">
        <w:t>000 people can be calculated:</w:t>
      </w:r>
    </w:p>
    <w:p w14:paraId="36BC253A" w14:textId="3008771F" w:rsidR="0018661D" w:rsidRPr="0018661D" w:rsidRDefault="0018661D" w:rsidP="0018661D">
      <w:r w:rsidRPr="0018661D">
        <w:t>The target number of cases of depression to be treated in the province for 50% coverage is 5500 x 2.456 = 13</w:t>
      </w:r>
      <w:r w:rsidR="00960A58">
        <w:t> </w:t>
      </w:r>
      <w:r w:rsidRPr="0018661D">
        <w:t>508 people.</w:t>
      </w:r>
    </w:p>
    <w:p w14:paraId="6AECF96F" w14:textId="65ECB3B8" w:rsidR="0018661D" w:rsidRPr="0018661D" w:rsidRDefault="0018661D" w:rsidP="00EB44E3">
      <w:pPr>
        <w:numPr>
          <w:ilvl w:val="0"/>
          <w:numId w:val="3"/>
        </w:numPr>
        <w:ind w:left="360"/>
        <w:contextualSpacing/>
      </w:pPr>
      <w:r w:rsidRPr="0018661D">
        <w:t>Number of cases to be treated (13</w:t>
      </w:r>
      <w:r w:rsidR="00960A58">
        <w:t> </w:t>
      </w:r>
      <w:r w:rsidRPr="0018661D">
        <w:t>508) x Price per unit of medicine (</w:t>
      </w:r>
      <w:r w:rsidR="00EB44E3" w:rsidRPr="0018661D">
        <w:t>US$</w:t>
      </w:r>
      <w:r w:rsidR="00EB44E3">
        <w:t> </w:t>
      </w:r>
      <w:r w:rsidRPr="0018661D">
        <w:t>0.028) x Number of units per day (1) x Duration of treatment (365 days) =</w:t>
      </w:r>
      <w:r w:rsidR="00960A58">
        <w:t> </w:t>
      </w:r>
      <w:r w:rsidR="004B3D25" w:rsidRPr="0018661D">
        <w:t>US$</w:t>
      </w:r>
      <w:r w:rsidR="004B3D25">
        <w:t> </w:t>
      </w:r>
      <w:r w:rsidRPr="0018661D">
        <w:t>138</w:t>
      </w:r>
      <w:r w:rsidR="00960A58">
        <w:t> </w:t>
      </w:r>
      <w:r w:rsidRPr="0018661D">
        <w:t>052.</w:t>
      </w:r>
    </w:p>
    <w:p w14:paraId="202A0F96" w14:textId="77777777" w:rsidR="004F417D" w:rsidRDefault="004F417D"/>
    <w:sectPr w:rsidR="004F4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C895" w14:textId="77777777" w:rsidR="008C37C4" w:rsidRDefault="008C37C4" w:rsidP="0018661D">
      <w:pPr>
        <w:spacing w:after="0" w:line="240" w:lineRule="auto"/>
      </w:pPr>
      <w:r>
        <w:separator/>
      </w:r>
    </w:p>
  </w:endnote>
  <w:endnote w:type="continuationSeparator" w:id="0">
    <w:p w14:paraId="460303BC" w14:textId="77777777" w:rsidR="008C37C4" w:rsidRDefault="008C37C4" w:rsidP="0018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362F" w14:textId="77777777" w:rsidR="008C37C4" w:rsidRDefault="008C37C4" w:rsidP="0018661D">
      <w:pPr>
        <w:spacing w:after="0" w:line="240" w:lineRule="auto"/>
      </w:pPr>
      <w:r>
        <w:separator/>
      </w:r>
    </w:p>
  </w:footnote>
  <w:footnote w:type="continuationSeparator" w:id="0">
    <w:p w14:paraId="6CA37AE2" w14:textId="77777777" w:rsidR="008C37C4" w:rsidRDefault="008C37C4" w:rsidP="0018661D">
      <w:pPr>
        <w:spacing w:after="0" w:line="240" w:lineRule="auto"/>
      </w:pPr>
      <w:r>
        <w:continuationSeparator/>
      </w:r>
    </w:p>
  </w:footnote>
  <w:footnote w:id="1">
    <w:p w14:paraId="79EFF9B4" w14:textId="05751881" w:rsidR="0018661D" w:rsidRDefault="0018661D" w:rsidP="0018661D">
      <w:pPr>
        <w:pStyle w:val="FootnoteText"/>
      </w:pPr>
      <w:r>
        <w:rPr>
          <w:rStyle w:val="FootnoteReference"/>
        </w:rPr>
        <w:footnoteRef/>
      </w:r>
      <w:r>
        <w:t xml:space="preserve"> Depression and </w:t>
      </w:r>
      <w:r w:rsidR="004A0184">
        <w:t>other common mental disorders: global health estimates</w:t>
      </w:r>
      <w:r>
        <w:t>. Geneva:</w:t>
      </w:r>
      <w:r w:rsidR="004A0184">
        <w:t xml:space="preserve"> </w:t>
      </w:r>
      <w:r>
        <w:t>World Health Organization; 2017.</w:t>
      </w:r>
    </w:p>
  </w:footnote>
  <w:footnote w:id="2">
    <w:p w14:paraId="064B5FD6" w14:textId="38461B84" w:rsidR="0018661D" w:rsidRPr="00615994" w:rsidRDefault="0018661D" w:rsidP="0018661D">
      <w:pPr>
        <w:pStyle w:val="FootnoteText"/>
        <w:rPr>
          <w:rStyle w:val="Hyperlink"/>
        </w:rPr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HYPERLINK "http://www.who.int/mental_health/mhgap/mhGAP_intervention_guide_02/en/" </w:instrText>
      </w:r>
      <w:r>
        <w:fldChar w:fldCharType="separate"/>
      </w:r>
      <w:proofErr w:type="spellStart"/>
      <w:r w:rsidRPr="00615994">
        <w:rPr>
          <w:rStyle w:val="Hyperlink"/>
        </w:rPr>
        <w:t>mhGAP</w:t>
      </w:r>
      <w:proofErr w:type="spellEnd"/>
      <w:r w:rsidRPr="00615994">
        <w:rPr>
          <w:rStyle w:val="Hyperlink"/>
        </w:rPr>
        <w:t xml:space="preserve"> intervention guide for mental, neurological and substance</w:t>
      </w:r>
    </w:p>
    <w:p w14:paraId="14A84885" w14:textId="1406EC94" w:rsidR="0018661D" w:rsidRDefault="0018661D" w:rsidP="0018661D">
      <w:pPr>
        <w:pStyle w:val="FootnoteText"/>
      </w:pPr>
      <w:r w:rsidRPr="00615994">
        <w:rPr>
          <w:rStyle w:val="Hyperlink"/>
        </w:rPr>
        <w:t>use disorders in non-specialized health settings – version 2.0</w:t>
      </w:r>
      <w:r>
        <w:fldChar w:fldCharType="end"/>
      </w:r>
      <w:r>
        <w:t xml:space="preserve">. </w:t>
      </w:r>
      <w:proofErr w:type="spellStart"/>
      <w:r w:rsidR="000752B7">
        <w:t>Geneva:</w:t>
      </w:r>
      <w:r>
        <w:t>World</w:t>
      </w:r>
      <w:proofErr w:type="spellEnd"/>
      <w:r>
        <w:t xml:space="preserve"> Health Organization</w:t>
      </w:r>
      <w:r w:rsidR="000752B7">
        <w:t>; 2016</w:t>
      </w:r>
      <w:r>
        <w:t xml:space="preserve"> (see page 28).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0A11"/>
    <w:multiLevelType w:val="hybridMultilevel"/>
    <w:tmpl w:val="D096A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71286E"/>
    <w:multiLevelType w:val="hybridMultilevel"/>
    <w:tmpl w:val="21C6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52D6F"/>
    <w:multiLevelType w:val="hybridMultilevel"/>
    <w:tmpl w:val="269C9B1A"/>
    <w:lvl w:ilvl="0" w:tplc="A218F8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F89"/>
    <w:multiLevelType w:val="hybridMultilevel"/>
    <w:tmpl w:val="175221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625108"/>
    <w:multiLevelType w:val="hybridMultilevel"/>
    <w:tmpl w:val="02FA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A547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1D"/>
    <w:rsid w:val="000752B7"/>
    <w:rsid w:val="0018661D"/>
    <w:rsid w:val="001B47BE"/>
    <w:rsid w:val="001C69CF"/>
    <w:rsid w:val="00221A6E"/>
    <w:rsid w:val="0025796E"/>
    <w:rsid w:val="003736A2"/>
    <w:rsid w:val="00393F03"/>
    <w:rsid w:val="003A3048"/>
    <w:rsid w:val="003E481A"/>
    <w:rsid w:val="00465678"/>
    <w:rsid w:val="004A0184"/>
    <w:rsid w:val="004B3D25"/>
    <w:rsid w:val="004D49B4"/>
    <w:rsid w:val="004F417D"/>
    <w:rsid w:val="00763B1A"/>
    <w:rsid w:val="00883BF8"/>
    <w:rsid w:val="008A1D67"/>
    <w:rsid w:val="008C37C4"/>
    <w:rsid w:val="009437A4"/>
    <w:rsid w:val="00960A58"/>
    <w:rsid w:val="00B255EE"/>
    <w:rsid w:val="00B6786E"/>
    <w:rsid w:val="00BC7261"/>
    <w:rsid w:val="00C3024E"/>
    <w:rsid w:val="00C70794"/>
    <w:rsid w:val="00C73E62"/>
    <w:rsid w:val="00CC0D85"/>
    <w:rsid w:val="00D75B4D"/>
    <w:rsid w:val="00DD6990"/>
    <w:rsid w:val="00E053A7"/>
    <w:rsid w:val="00E14205"/>
    <w:rsid w:val="00EB44E3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F46C"/>
  <w15:chartTrackingRefBased/>
  <w15:docId w15:val="{88D8CA97-D9CF-4D5F-BCC7-EF7D45A9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61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6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6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661D"/>
    <w:rPr>
      <w:vertAlign w:val="superscript"/>
    </w:rPr>
  </w:style>
  <w:style w:type="table" w:styleId="TableGrid">
    <w:name w:val="Table Grid"/>
    <w:basedOn w:val="TableNormal"/>
    <w:uiPriority w:val="39"/>
    <w:rsid w:val="0018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7E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5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iweb.org/MedPriceDataba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rgater</dc:creator>
  <cp:keywords/>
  <dc:description/>
  <cp:lastModifiedBy>EISENSTADT, Kevin</cp:lastModifiedBy>
  <cp:revision>22</cp:revision>
  <dcterms:created xsi:type="dcterms:W3CDTF">2022-11-01T13:49:00Z</dcterms:created>
  <dcterms:modified xsi:type="dcterms:W3CDTF">2023-02-21T13:08:00Z</dcterms:modified>
</cp:coreProperties>
</file>